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DD" w:rsidRPr="00CA24D8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>h1.</w:t>
      </w:r>
      <w:r w:rsidRPr="00E112B3">
        <w:rPr>
          <w:color w:val="FF0000"/>
          <w:sz w:val="18"/>
          <w:szCs w:val="18"/>
          <w:lang w:val="fr-FR"/>
        </w:rPr>
        <w:t xml:space="preserve"> Amplificateur d´impulsion de la fréquence porteuse avec capteur individuel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Les amplificateurs d´impulsion de la fréquence porteuse sont bons pour les débitmètres KEM et pour la plupart d´applications. 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</w:p>
    <w:p w:rsidR="00D956DD" w:rsidRPr="00E112B3" w:rsidRDefault="00D956DD" w:rsidP="004723A3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Le capteur de fréquence porteuse intégré compte sans contact le nombre de tours du débitmètre KEM. On enregistre sans contact et on évalue l´amortissement du circuit oscillant de la fréquence porteuse à chaque passage de la dent ou de la palette. 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La fréquence de la modulation d´amplitude du porteur en résultante correspond au nombre de tours du rotor, c´est pourquoi elle est la mesure pour le débit. Le signal de sortie du capteur est intensifié, modifié et émis sous forme d´impulsions de courant ou de tension rectangulaires.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En vertu de la demande, KEM offre </w:t>
      </w:r>
      <w:r>
        <w:rPr>
          <w:color w:val="FF0000"/>
          <w:sz w:val="18"/>
          <w:szCs w:val="18"/>
          <w:lang w:val="fr-FR"/>
        </w:rPr>
        <w:t xml:space="preserve">les diverses </w:t>
      </w:r>
      <w:r w:rsidRPr="00E112B3">
        <w:rPr>
          <w:color w:val="FF0000"/>
          <w:sz w:val="18"/>
          <w:szCs w:val="18"/>
          <w:lang w:val="fr-FR"/>
        </w:rPr>
        <w:t>formes: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>| !serie-a.jpg! série-a/?lang=de &lt;br&gt;"</w:t>
      </w:r>
      <w:r w:rsidRPr="00E112B3">
        <w:rPr>
          <w:color w:val="FF0000"/>
          <w:sz w:val="18"/>
          <w:szCs w:val="18"/>
          <w:lang w:val="fr-FR"/>
        </w:rPr>
        <w:t>Série</w:t>
      </w:r>
      <w:r w:rsidRPr="00E112B3">
        <w:rPr>
          <w:sz w:val="18"/>
          <w:szCs w:val="18"/>
          <w:lang w:val="fr-FR"/>
        </w:rPr>
        <w:t xml:space="preserve"> </w:t>
      </w:r>
      <w:r w:rsidRPr="00E112B3">
        <w:rPr>
          <w:color w:val="FF0000"/>
          <w:sz w:val="18"/>
          <w:szCs w:val="18"/>
          <w:lang w:val="fr-FR"/>
        </w:rPr>
        <w:t>A</w:t>
      </w:r>
      <w:r w:rsidRPr="00E112B3">
        <w:rPr>
          <w:sz w:val="18"/>
          <w:szCs w:val="18"/>
          <w:lang w:val="fr-FR"/>
        </w:rPr>
        <w:t>":série-a/?lang=de | &amp;nbsp; | &amp;nbsp;| !serie-b.jpg!: série-b/?lang=de &lt;br&gt;"</w:t>
      </w:r>
      <w:r w:rsidRPr="00E112B3">
        <w:rPr>
          <w:color w:val="FF0000"/>
          <w:sz w:val="18"/>
          <w:szCs w:val="18"/>
          <w:lang w:val="fr-FR"/>
        </w:rPr>
        <w:t>Série B</w:t>
      </w:r>
      <w:r w:rsidRPr="00E112B3">
        <w:rPr>
          <w:sz w:val="18"/>
          <w:szCs w:val="18"/>
          <w:lang w:val="fr-FR"/>
        </w:rPr>
        <w:t>":série-b/?lang=de |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>| !serie-c.jpg!:série-c/?lang=de &lt;br&gt;"</w:t>
      </w:r>
      <w:r w:rsidRPr="00E112B3">
        <w:rPr>
          <w:color w:val="FF0000"/>
          <w:sz w:val="18"/>
          <w:szCs w:val="18"/>
          <w:lang w:val="fr-FR"/>
        </w:rPr>
        <w:t>Série C</w:t>
      </w:r>
      <w:r w:rsidRPr="00E112B3">
        <w:rPr>
          <w:sz w:val="18"/>
          <w:szCs w:val="18"/>
          <w:lang w:val="fr-FR"/>
        </w:rPr>
        <w:t>":série-c/?lang=de | &amp;nbsp; | &amp;nbsp;| !serie-d.jpg!:série-d/?lang=de &lt;br&gt;"</w:t>
      </w:r>
      <w:r w:rsidRPr="00E112B3">
        <w:rPr>
          <w:color w:val="FF0000"/>
          <w:sz w:val="18"/>
          <w:szCs w:val="18"/>
          <w:lang w:val="fr-FR"/>
        </w:rPr>
        <w:t>Série D</w:t>
      </w:r>
      <w:r w:rsidRPr="00E112B3">
        <w:rPr>
          <w:sz w:val="18"/>
          <w:szCs w:val="18"/>
          <w:lang w:val="fr-FR"/>
        </w:rPr>
        <w:t>":série-d/?lang=de |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 xml:space="preserve">h3. </w:t>
      </w:r>
      <w:r w:rsidRPr="00E112B3">
        <w:rPr>
          <w:color w:val="FF0000"/>
          <w:sz w:val="18"/>
          <w:szCs w:val="18"/>
          <w:lang w:val="fr-FR"/>
        </w:rPr>
        <w:t>Récapitulatif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>table(tblOver).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>|_. &amp;nbsp; |_. "</w:t>
      </w:r>
      <w:r w:rsidRPr="00E112B3">
        <w:rPr>
          <w:color w:val="FF0000"/>
          <w:sz w:val="18"/>
          <w:szCs w:val="18"/>
          <w:lang w:val="fr-FR"/>
        </w:rPr>
        <w:t>Série A</w:t>
      </w:r>
      <w:r w:rsidRPr="00E112B3">
        <w:rPr>
          <w:sz w:val="18"/>
          <w:szCs w:val="18"/>
          <w:lang w:val="fr-FR"/>
        </w:rPr>
        <w:t>":série-a/?lang=de |_. "</w:t>
      </w:r>
      <w:r w:rsidRPr="00E112B3">
        <w:rPr>
          <w:color w:val="FF0000"/>
          <w:sz w:val="18"/>
          <w:szCs w:val="18"/>
          <w:lang w:val="fr-FR"/>
        </w:rPr>
        <w:t>Série B</w:t>
      </w:r>
      <w:r w:rsidRPr="00E112B3">
        <w:rPr>
          <w:sz w:val="18"/>
          <w:szCs w:val="18"/>
          <w:lang w:val="fr-FR"/>
        </w:rPr>
        <w:t>":série-b/?lang=de |_. "</w:t>
      </w:r>
      <w:r w:rsidRPr="00E112B3">
        <w:rPr>
          <w:color w:val="FF0000"/>
          <w:sz w:val="18"/>
          <w:szCs w:val="18"/>
          <w:lang w:val="fr-FR"/>
        </w:rPr>
        <w:t>Série C</w:t>
      </w:r>
      <w:r w:rsidRPr="00E112B3">
        <w:rPr>
          <w:sz w:val="18"/>
          <w:szCs w:val="18"/>
          <w:lang w:val="fr-FR"/>
        </w:rPr>
        <w:t>":série-c/?lang=de |_. "</w:t>
      </w:r>
      <w:r w:rsidRPr="00E112B3">
        <w:rPr>
          <w:color w:val="FF0000"/>
          <w:sz w:val="18"/>
          <w:szCs w:val="18"/>
          <w:lang w:val="fr-FR"/>
        </w:rPr>
        <w:t>Série D</w:t>
      </w:r>
      <w:r w:rsidRPr="00E112B3">
        <w:rPr>
          <w:sz w:val="18"/>
          <w:szCs w:val="18"/>
          <w:lang w:val="fr-FR"/>
        </w:rPr>
        <w:t>":série-d/?lang=de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Raccordement mécanique | M14x1.5 | M14x1.15 ou montage direct | M14x1.5 | Montage direct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Raccordement électrique | Connecteur M12, M16 ou MIL | Connecteur M12  ou M16 | Connecteur M12 ou M16 | Passe-fils avec filetage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Champ de fréquence | 2 – 4.000 Hz | 0,5 – 5.000 Hz | 3 – 3.000 Hz | 1,5 – 3.000 Hz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Sortie| PP et OC | PP et OC | PP et OC, 2-conducteur passif | OC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Tension d´alimentation| 8.5 – 29 V | 10- 30 V | 8 – 29 V | 9 – 29 V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Prise de courant | &lt; 5 mA | &lt; 2 mA | &lt; 4 mA | &lt; 4 mA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| Température ambiante| -40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50°C"/>
        </w:smartTagPr>
        <w:r w:rsidRPr="00E112B3">
          <w:rPr>
            <w:color w:val="FF0000"/>
            <w:sz w:val="18"/>
            <w:szCs w:val="18"/>
            <w:lang w:val="fr-FR"/>
          </w:rPr>
          <w:t>50°C</w:t>
        </w:r>
      </w:smartTag>
      <w:r w:rsidRPr="00E112B3">
        <w:rPr>
          <w:color w:val="FF0000"/>
          <w:sz w:val="18"/>
          <w:szCs w:val="18"/>
          <w:lang w:val="fr-FR"/>
        </w:rPr>
        <w:t xml:space="preserve"> | -40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60°C"/>
        </w:smartTagPr>
        <w:r w:rsidRPr="00E112B3">
          <w:rPr>
            <w:color w:val="FF0000"/>
            <w:sz w:val="18"/>
            <w:szCs w:val="18"/>
            <w:lang w:val="fr-FR"/>
          </w:rPr>
          <w:t>60°C</w:t>
        </w:r>
      </w:smartTag>
      <w:r w:rsidRPr="00E112B3">
        <w:rPr>
          <w:color w:val="FF0000"/>
          <w:sz w:val="18"/>
          <w:szCs w:val="18"/>
          <w:lang w:val="fr-FR"/>
        </w:rPr>
        <w:t xml:space="preserve"> | -20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50°C"/>
        </w:smartTagPr>
        <w:r w:rsidRPr="00E112B3">
          <w:rPr>
            <w:color w:val="FF0000"/>
            <w:sz w:val="18"/>
            <w:szCs w:val="18"/>
            <w:lang w:val="fr-FR"/>
          </w:rPr>
          <w:t>50°C</w:t>
        </w:r>
      </w:smartTag>
      <w:r w:rsidRPr="00E112B3">
        <w:rPr>
          <w:color w:val="FF0000"/>
          <w:sz w:val="18"/>
          <w:szCs w:val="18"/>
          <w:lang w:val="fr-FR"/>
        </w:rPr>
        <w:t xml:space="preserve"> | -20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50°C"/>
        </w:smartTagPr>
        <w:r w:rsidRPr="00E112B3">
          <w:rPr>
            <w:color w:val="FF0000"/>
            <w:sz w:val="18"/>
            <w:szCs w:val="18"/>
            <w:lang w:val="fr-FR"/>
          </w:rPr>
          <w:t>50°C</w:t>
        </w:r>
      </w:smartTag>
      <w:r w:rsidRPr="00E112B3">
        <w:rPr>
          <w:color w:val="FF0000"/>
          <w:sz w:val="18"/>
          <w:szCs w:val="18"/>
          <w:lang w:val="fr-FR"/>
        </w:rPr>
        <w:t xml:space="preserve">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| Température du fluide|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</w:t>
      </w:r>
      <w:smartTag w:uri="urn:schemas-microsoft-com:office:smarttags" w:element="metricconverter">
        <w:smartTagPr>
          <w:attr w:name="ProductID" w:val="125°C"/>
        </w:smartTagPr>
        <w:r w:rsidRPr="00E112B3">
          <w:rPr>
            <w:color w:val="FF0000"/>
            <w:sz w:val="18"/>
            <w:szCs w:val="18"/>
            <w:lang w:val="fr-FR"/>
          </w:rPr>
          <w:t>125°C</w:t>
        </w:r>
      </w:smartTag>
      <w:r w:rsidRPr="00E112B3">
        <w:rPr>
          <w:color w:val="FF0000"/>
          <w:sz w:val="18"/>
          <w:szCs w:val="18"/>
          <w:lang w:val="fr-FR"/>
        </w:rPr>
        <w:t xml:space="preserve"> |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</w:t>
      </w:r>
      <w:smartTag w:uri="urn:schemas-microsoft-com:office:smarttags" w:element="metricconverter">
        <w:smartTagPr>
          <w:attr w:name="ProductID" w:val="125°C"/>
        </w:smartTagPr>
        <w:r w:rsidRPr="00E112B3">
          <w:rPr>
            <w:color w:val="FF0000"/>
            <w:sz w:val="18"/>
            <w:szCs w:val="18"/>
            <w:lang w:val="fr-FR"/>
          </w:rPr>
          <w:t>125°C</w:t>
        </w:r>
      </w:smartTag>
      <w:r w:rsidRPr="00E112B3">
        <w:rPr>
          <w:color w:val="FF0000"/>
          <w:sz w:val="18"/>
          <w:szCs w:val="18"/>
          <w:lang w:val="fr-FR"/>
        </w:rPr>
        <w:t xml:space="preserve"> (M14);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60°C (direct) |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125°C |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>50°C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ATEX | Possibilité | Possibilité | Possibilité | Possibilité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ICE Ex | Non| Possibilité | Non | Non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CSA Ex | Non | Possibilité | Non  | Non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CSA Safety | Non | Standard| Non | Non  |</w:t>
      </w:r>
    </w:p>
    <w:p w:rsidR="00D956DD" w:rsidRPr="00583CDF" w:rsidRDefault="00D956DD" w:rsidP="003A7CE6">
      <w:pPr>
        <w:spacing w:after="0"/>
        <w:rPr>
          <w:sz w:val="18"/>
          <w:szCs w:val="18"/>
          <w:lang w:val="sk-SK"/>
        </w:rPr>
      </w:pPr>
      <w:r w:rsidRPr="00583CDF">
        <w:rPr>
          <w:sz w:val="18"/>
          <w:szCs w:val="18"/>
          <w:lang w:val="sk-SK"/>
        </w:rPr>
        <w:tab/>
        <w:t xml:space="preserve"> </w:t>
      </w:r>
      <w:r w:rsidRPr="00583CDF">
        <w:rPr>
          <w:sz w:val="18"/>
          <w:szCs w:val="18"/>
          <w:lang w:val="sk-SK"/>
        </w:rPr>
        <w:tab/>
      </w:r>
    </w:p>
    <w:p w:rsidR="00D956DD" w:rsidRPr="00583CDF" w:rsidRDefault="00D956DD" w:rsidP="003A7CE6">
      <w:pPr>
        <w:spacing w:after="0"/>
        <w:rPr>
          <w:lang w:val="sk-SK"/>
        </w:rPr>
      </w:pPr>
    </w:p>
    <w:sectPr w:rsidR="00D956DD" w:rsidRPr="00583CDF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0C4B15"/>
    <w:rsid w:val="000D30A8"/>
    <w:rsid w:val="000F3CCC"/>
    <w:rsid w:val="00106AC6"/>
    <w:rsid w:val="00131C65"/>
    <w:rsid w:val="00170CEB"/>
    <w:rsid w:val="00177AD2"/>
    <w:rsid w:val="00191222"/>
    <w:rsid w:val="001D133B"/>
    <w:rsid w:val="001F2486"/>
    <w:rsid w:val="002038DA"/>
    <w:rsid w:val="002110BC"/>
    <w:rsid w:val="002471BB"/>
    <w:rsid w:val="00295FAA"/>
    <w:rsid w:val="00304826"/>
    <w:rsid w:val="00316128"/>
    <w:rsid w:val="003570FD"/>
    <w:rsid w:val="00384636"/>
    <w:rsid w:val="003A7CE6"/>
    <w:rsid w:val="00414B93"/>
    <w:rsid w:val="00417026"/>
    <w:rsid w:val="004723A3"/>
    <w:rsid w:val="00487258"/>
    <w:rsid w:val="004D53F6"/>
    <w:rsid w:val="004E7EAF"/>
    <w:rsid w:val="00514A23"/>
    <w:rsid w:val="00583CDF"/>
    <w:rsid w:val="005B26DF"/>
    <w:rsid w:val="005B465E"/>
    <w:rsid w:val="005C15D1"/>
    <w:rsid w:val="00610269"/>
    <w:rsid w:val="00630CA8"/>
    <w:rsid w:val="006346EA"/>
    <w:rsid w:val="00646AB4"/>
    <w:rsid w:val="00664027"/>
    <w:rsid w:val="006A35B5"/>
    <w:rsid w:val="006C58E5"/>
    <w:rsid w:val="006C7F2B"/>
    <w:rsid w:val="00702D69"/>
    <w:rsid w:val="007241D8"/>
    <w:rsid w:val="00797B15"/>
    <w:rsid w:val="007A0E8C"/>
    <w:rsid w:val="007C1A95"/>
    <w:rsid w:val="00823E7C"/>
    <w:rsid w:val="00834044"/>
    <w:rsid w:val="00887DD8"/>
    <w:rsid w:val="00936FB1"/>
    <w:rsid w:val="00971FB4"/>
    <w:rsid w:val="00A07007"/>
    <w:rsid w:val="00AF6FA8"/>
    <w:rsid w:val="00BD6718"/>
    <w:rsid w:val="00BF70F0"/>
    <w:rsid w:val="00C40C17"/>
    <w:rsid w:val="00C730EA"/>
    <w:rsid w:val="00C85CA9"/>
    <w:rsid w:val="00CA24D8"/>
    <w:rsid w:val="00CC7DFD"/>
    <w:rsid w:val="00D21AA0"/>
    <w:rsid w:val="00D27AC2"/>
    <w:rsid w:val="00D373FA"/>
    <w:rsid w:val="00D848FA"/>
    <w:rsid w:val="00D9083E"/>
    <w:rsid w:val="00D913B2"/>
    <w:rsid w:val="00D956DD"/>
    <w:rsid w:val="00DB6F56"/>
    <w:rsid w:val="00DC02C2"/>
    <w:rsid w:val="00DC18DA"/>
    <w:rsid w:val="00E112B3"/>
    <w:rsid w:val="00E46FD5"/>
    <w:rsid w:val="00E61D69"/>
    <w:rsid w:val="00EB7EF7"/>
    <w:rsid w:val="00F763C1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327</Words>
  <Characters>1868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2011-08-23T08:18:00Z</dcterms:created>
  <dcterms:modified xsi:type="dcterms:W3CDTF">2011-08-23T08:18:00Z</dcterms:modified>
</cp:coreProperties>
</file>