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C635F8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C635F8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C635F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C635F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C635F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C635F8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C635F8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C635F8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9B3224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C635F8" w:rsidP="00C635F8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Q2012RH069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F2E0E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6D1A1D" w:rsidP="006D1A1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CE5536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E553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CE553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AVS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C635F8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C635F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C635F8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C635F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C635F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C635F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C635F8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C635F8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C635F8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9B3224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C635F8" w:rsidP="00C635F8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n-US" w:eastAsia="en-US"/>
                              </w:rPr>
                              <w:t>Q2012RH069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F2E0E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6D1A1D" w:rsidP="006D1A1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CE5536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CE553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CE553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AVS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C635F8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756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08193C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Avsco Houston Int’l Operation Nig.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Ltd</w:t>
                            </w:r>
                          </w:p>
                          <w:p w:rsidR="006400C6" w:rsidRPr="006400C6" w:rsidRDefault="0008193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54 Emekuku Street,</w:t>
                            </w:r>
                          </w:p>
                          <w:p w:rsidR="00550E0C" w:rsidRDefault="0008193C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 – Line, Port Harcourt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</w:p>
                          <w:p w:rsidR="006400C6" w:rsidRPr="006400C6" w:rsidRDefault="0008193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Rivers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State.</w:t>
                            </w:r>
                            <w:bookmarkStart w:id="0" w:name="_GoBack"/>
                            <w:bookmarkEnd w:id="0"/>
                          </w:p>
                          <w:p w:rsid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402FA" w:rsidRDefault="005402F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8F2E0E" w:rsidRPr="006400C6" w:rsidRDefault="005402FA" w:rsidP="0008193C">
                            <w:pPr>
                              <w:pStyle w:val="Adresskopf"/>
                              <w:rPr>
                                <w:szCs w:val="18"/>
                              </w:rPr>
                            </w:pPr>
                            <w:proofErr w:type="spellStart"/>
                            <w:r w:rsidRPr="005402FA">
                              <w:rPr>
                                <w:b/>
                                <w:sz w:val="18"/>
                                <w:szCs w:val="18"/>
                              </w:rPr>
                              <w:t>Attn</w:t>
                            </w:r>
                            <w:proofErr w:type="spellEnd"/>
                            <w:r w:rsidRPr="005402FA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193C">
                              <w:rPr>
                                <w:sz w:val="18"/>
                                <w:szCs w:val="18"/>
                              </w:rPr>
                              <w:t>Olamide</w:t>
                            </w:r>
                            <w:proofErr w:type="spellEnd"/>
                            <w:r w:rsidR="0008193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193C">
                              <w:rPr>
                                <w:sz w:val="18"/>
                                <w:szCs w:val="18"/>
                              </w:rPr>
                              <w:t>Durodolu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cB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" stroked="f">
                <v:textbox>
                  <w:txbxContent>
                    <w:p w:rsidR="006400C6" w:rsidRPr="006400C6" w:rsidRDefault="0008193C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Avsco Houston Int’l Operation Nig.</w:t>
                      </w:r>
                      <w:r w:rsidR="005402FA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Ltd</w:t>
                      </w:r>
                    </w:p>
                    <w:p w:rsidR="006400C6" w:rsidRPr="006400C6" w:rsidRDefault="0008193C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54 Emekuku Street,</w:t>
                      </w:r>
                    </w:p>
                    <w:p w:rsidR="00550E0C" w:rsidRDefault="0008193C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 – Line, Port Harcourt</w:t>
                      </w:r>
                      <w:r w:rsidR="005402FA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</w:p>
                    <w:p w:rsidR="006400C6" w:rsidRPr="006400C6" w:rsidRDefault="0008193C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Rivers</w:t>
                      </w:r>
                      <w:r w:rsidR="005402FA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State.</w:t>
                      </w:r>
                      <w:bookmarkStart w:id="1" w:name="_GoBack"/>
                      <w:bookmarkEnd w:id="1"/>
                    </w:p>
                    <w:p w:rsid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  <w:r w:rsidR="005402FA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:rsidR="005402FA" w:rsidRDefault="005402F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8F2E0E" w:rsidRPr="006400C6" w:rsidRDefault="005402FA" w:rsidP="0008193C">
                      <w:pPr>
                        <w:pStyle w:val="Adresskopf"/>
                        <w:rPr>
                          <w:szCs w:val="18"/>
                        </w:rPr>
                      </w:pPr>
                      <w:proofErr w:type="spellStart"/>
                      <w:r w:rsidRPr="005402FA">
                        <w:rPr>
                          <w:b/>
                          <w:sz w:val="18"/>
                          <w:szCs w:val="18"/>
                        </w:rPr>
                        <w:t>Attn</w:t>
                      </w:r>
                      <w:proofErr w:type="spellEnd"/>
                      <w:r w:rsidRPr="005402FA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193C">
                        <w:rPr>
                          <w:sz w:val="18"/>
                          <w:szCs w:val="18"/>
                        </w:rPr>
                        <w:t>Olamide</w:t>
                      </w:r>
                      <w:proofErr w:type="spellEnd"/>
                      <w:r w:rsidR="0008193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193C">
                        <w:rPr>
                          <w:sz w:val="18"/>
                          <w:szCs w:val="18"/>
                        </w:rPr>
                        <w:t>Durodolu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C635F8" w:rsidRPr="00C635F8" w:rsidRDefault="00A0227D" w:rsidP="00C635F8">
      <w:pPr>
        <w:pStyle w:val="Titre1"/>
        <w:spacing w:before="100"/>
        <w:ind w:right="760"/>
        <w:rPr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C635F8">
        <w:rPr>
          <w:sz w:val="24"/>
          <w:szCs w:val="24"/>
          <w:lang w:val="en-GB"/>
        </w:rPr>
        <w:t>Q2012RH069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08193C">
        <w:rPr>
          <w:sz w:val="20"/>
          <w:lang w:val="en-GB"/>
        </w:rPr>
        <w:t>smart field c</w:t>
      </w:r>
      <w:r w:rsidR="00D31B39">
        <w:rPr>
          <w:sz w:val="20"/>
          <w:lang w:val="en-GB"/>
        </w:rPr>
        <w:t>ommunicator</w:t>
      </w:r>
      <w:r w:rsidR="00DA0C9B" w:rsidRPr="003276BC">
        <w:rPr>
          <w:sz w:val="20"/>
          <w:lang w:val="en-GB"/>
        </w:rPr>
        <w:t>.</w:t>
      </w:r>
      <w:r w:rsidR="0008193C">
        <w:rPr>
          <w:sz w:val="20"/>
          <w:lang w:val="en-GB"/>
        </w:rPr>
        <w:t xml:space="preserve"> The current smart field communicator in this proposal is equivalent in process with the existing smart field communicator.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  <w:proofErr w:type="spellEnd"/>
          </w:p>
        </w:tc>
      </w:tr>
      <w:tr w:rsidR="008B2949" w:rsidRPr="00D43507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2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D31B39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D31B3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CFS100-U1-X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C635F8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C635F8" w:rsidRDefault="00D31B39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C635F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Smart Field Communicator;</w:t>
            </w:r>
          </w:p>
          <w:p w:rsidR="00D16449" w:rsidRPr="00C635F8" w:rsidRDefault="00D31B39" w:rsidP="00D31B39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C635F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Software and Adapter (with USB adapter)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Pr="00C635F8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D43507" w:rsidRDefault="00CE5536" w:rsidP="00CE553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D31B39" w:rsidP="00D31B3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1.650,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CE5536" w:rsidP="00CE553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2"/>
      <w:tr w:rsidR="00FE4CFE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077215">
        <w:trPr>
          <w:gridAfter w:val="1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</w:tcPr>
          <w:p w:rsidR="00AD0C77" w:rsidRPr="00D43507" w:rsidRDefault="00D16449" w:rsidP="00CE553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CE5536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CE5536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7D6EC7" w:rsidP="007D6EC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360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Japanease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CE5536" w:rsidP="007D6EC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D6EC7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66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CE5536" w:rsidP="009E22E4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1,</w:t>
            </w:r>
            <w:r w:rsidR="009E22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380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7D6EC7" w:rsidP="007D6EC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040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7D6EC7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642A09">
              <w:rPr>
                <w:b/>
                <w:sz w:val="18"/>
                <w:szCs w:val="18"/>
                <w:u w:val="single"/>
                <w:lang w:val="en-US"/>
              </w:rPr>
              <w:t>3</w:t>
            </w:r>
            <w:r w:rsidR="007D6EC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7D6EC7">
              <w:rPr>
                <w:b/>
                <w:sz w:val="18"/>
                <w:szCs w:val="18"/>
                <w:u w:val="single"/>
                <w:lang w:val="en-US"/>
              </w:rPr>
              <w:t>AVS</w:t>
            </w:r>
          </w:p>
        </w:tc>
      </w:tr>
      <w:tr w:rsidR="00FE4CFE" w:rsidRPr="00C635F8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D1644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Local Purchase Order issued to our Agent; </w:t>
            </w:r>
            <w:proofErr w:type="spellStart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</w:t>
            </w:r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F1950">
              <w:rPr>
                <w:rFonts w:cs="Arial"/>
                <w:b/>
                <w:bCs/>
                <w:sz w:val="18"/>
                <w:szCs w:val="18"/>
              </w:rPr>
              <w:t>Validity</w:t>
            </w:r>
            <w:proofErr w:type="spellEnd"/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Mode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of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dispatch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Will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be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informed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later</w:t>
            </w:r>
            <w:proofErr w:type="spellEnd"/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Warranty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Period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C635F8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C635F8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Pr="006941C5" w:rsidRDefault="00C635F8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2200275" cy="1085850"/>
            <wp:effectExtent l="0" t="0" r="9525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24" w:rsidRDefault="009B3224">
      <w:r>
        <w:separator/>
      </w:r>
    </w:p>
  </w:endnote>
  <w:endnote w:type="continuationSeparator" w:id="0">
    <w:p w:rsidR="009B3224" w:rsidRDefault="009B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D85F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D85F0F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BD198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BD198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D85F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24" w:rsidRDefault="009B3224">
      <w:r>
        <w:separator/>
      </w:r>
    </w:p>
  </w:footnote>
  <w:footnote w:type="continuationSeparator" w:id="0">
    <w:p w:rsidR="009B3224" w:rsidRDefault="009B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635F8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C635F8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56CB4"/>
    <w:rsid w:val="00071DE1"/>
    <w:rsid w:val="00072706"/>
    <w:rsid w:val="00077215"/>
    <w:rsid w:val="00077A8C"/>
    <w:rsid w:val="00080189"/>
    <w:rsid w:val="0008193C"/>
    <w:rsid w:val="00086545"/>
    <w:rsid w:val="000942F2"/>
    <w:rsid w:val="000A0E08"/>
    <w:rsid w:val="000A6287"/>
    <w:rsid w:val="000B3BCF"/>
    <w:rsid w:val="000C2A61"/>
    <w:rsid w:val="000C3473"/>
    <w:rsid w:val="000D02AB"/>
    <w:rsid w:val="000D2F20"/>
    <w:rsid w:val="000F074F"/>
    <w:rsid w:val="000F09FB"/>
    <w:rsid w:val="000F1A57"/>
    <w:rsid w:val="000F4FDA"/>
    <w:rsid w:val="000F79A4"/>
    <w:rsid w:val="00101C77"/>
    <w:rsid w:val="001109F9"/>
    <w:rsid w:val="001365EE"/>
    <w:rsid w:val="00156BB0"/>
    <w:rsid w:val="00157B97"/>
    <w:rsid w:val="00164BBD"/>
    <w:rsid w:val="001676BB"/>
    <w:rsid w:val="00174795"/>
    <w:rsid w:val="00175977"/>
    <w:rsid w:val="0017722C"/>
    <w:rsid w:val="0018414C"/>
    <w:rsid w:val="00192418"/>
    <w:rsid w:val="00195B49"/>
    <w:rsid w:val="00197AB5"/>
    <w:rsid w:val="001A1CA1"/>
    <w:rsid w:val="001A1E15"/>
    <w:rsid w:val="001A2533"/>
    <w:rsid w:val="001A626D"/>
    <w:rsid w:val="001B1B36"/>
    <w:rsid w:val="001B2737"/>
    <w:rsid w:val="001B6430"/>
    <w:rsid w:val="001B65CC"/>
    <w:rsid w:val="001C4001"/>
    <w:rsid w:val="001D45A2"/>
    <w:rsid w:val="001D4F3B"/>
    <w:rsid w:val="001E68D0"/>
    <w:rsid w:val="001F3028"/>
    <w:rsid w:val="001F6C93"/>
    <w:rsid w:val="001F71C8"/>
    <w:rsid w:val="0020091F"/>
    <w:rsid w:val="0020287D"/>
    <w:rsid w:val="00202914"/>
    <w:rsid w:val="002212C3"/>
    <w:rsid w:val="0022147E"/>
    <w:rsid w:val="002276EC"/>
    <w:rsid w:val="00230615"/>
    <w:rsid w:val="00233295"/>
    <w:rsid w:val="0023576E"/>
    <w:rsid w:val="00240476"/>
    <w:rsid w:val="00243DD4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6B1A"/>
    <w:rsid w:val="00536DCE"/>
    <w:rsid w:val="005402FA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230F"/>
    <w:rsid w:val="005B397F"/>
    <w:rsid w:val="005C6090"/>
    <w:rsid w:val="005C61CA"/>
    <w:rsid w:val="005D1274"/>
    <w:rsid w:val="005D6D78"/>
    <w:rsid w:val="005E658E"/>
    <w:rsid w:val="005F2443"/>
    <w:rsid w:val="0060071B"/>
    <w:rsid w:val="0061145D"/>
    <w:rsid w:val="00620567"/>
    <w:rsid w:val="00623679"/>
    <w:rsid w:val="006320CF"/>
    <w:rsid w:val="00632316"/>
    <w:rsid w:val="006400C6"/>
    <w:rsid w:val="00642A09"/>
    <w:rsid w:val="00652027"/>
    <w:rsid w:val="00655B52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D1A1D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2D3E"/>
    <w:rsid w:val="00736A5D"/>
    <w:rsid w:val="007419AF"/>
    <w:rsid w:val="00764E0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D6EC7"/>
    <w:rsid w:val="007E140B"/>
    <w:rsid w:val="007F16E5"/>
    <w:rsid w:val="007F7A4E"/>
    <w:rsid w:val="008040C5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40B2B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B3224"/>
    <w:rsid w:val="009B3C88"/>
    <w:rsid w:val="009B5D12"/>
    <w:rsid w:val="009D0063"/>
    <w:rsid w:val="009D00F3"/>
    <w:rsid w:val="009D06CE"/>
    <w:rsid w:val="009D1DB2"/>
    <w:rsid w:val="009E22E4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E197E"/>
    <w:rsid w:val="00AF1EF4"/>
    <w:rsid w:val="00AF59BE"/>
    <w:rsid w:val="00AF71E0"/>
    <w:rsid w:val="00B012F3"/>
    <w:rsid w:val="00B03BBF"/>
    <w:rsid w:val="00B07832"/>
    <w:rsid w:val="00B11306"/>
    <w:rsid w:val="00B349E5"/>
    <w:rsid w:val="00B36C3C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D198A"/>
    <w:rsid w:val="00BE141F"/>
    <w:rsid w:val="00BF1F35"/>
    <w:rsid w:val="00BF6DA5"/>
    <w:rsid w:val="00C17A8F"/>
    <w:rsid w:val="00C40791"/>
    <w:rsid w:val="00C57676"/>
    <w:rsid w:val="00C6164B"/>
    <w:rsid w:val="00C629E0"/>
    <w:rsid w:val="00C635F8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E5536"/>
    <w:rsid w:val="00CF2634"/>
    <w:rsid w:val="00CF6C6C"/>
    <w:rsid w:val="00D01E97"/>
    <w:rsid w:val="00D03284"/>
    <w:rsid w:val="00D16449"/>
    <w:rsid w:val="00D200DB"/>
    <w:rsid w:val="00D27FD4"/>
    <w:rsid w:val="00D31B39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5F0F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75219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5138"/>
    <w:rsid w:val="00F075BE"/>
    <w:rsid w:val="00F13BDE"/>
    <w:rsid w:val="00F361D2"/>
    <w:rsid w:val="00F41418"/>
    <w:rsid w:val="00F46C5E"/>
    <w:rsid w:val="00F734F6"/>
    <w:rsid w:val="00F74492"/>
    <w:rsid w:val="00F76B42"/>
    <w:rsid w:val="00F80D40"/>
    <w:rsid w:val="00F834DD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1777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2012-02-23T17:29:00Z</cp:lastPrinted>
  <dcterms:created xsi:type="dcterms:W3CDTF">2012-02-23T17:29:00Z</dcterms:created>
  <dcterms:modified xsi:type="dcterms:W3CDTF">2012-02-23T17:30:00Z</dcterms:modified>
</cp:coreProperties>
</file>